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52BB87A3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610C5C">
        <w:rPr>
          <w:szCs w:val="28"/>
          <w:lang w:eastAsia="x-none"/>
        </w:rPr>
        <w:t>1</w:t>
      </w:r>
      <w:r w:rsidR="00931244">
        <w:rPr>
          <w:szCs w:val="28"/>
          <w:lang w:eastAsia="x-none"/>
        </w:rPr>
        <w:t>7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1DB7684B" w14:textId="77777777" w:rsidR="007B14C1" w:rsidRPr="006F228D" w:rsidRDefault="007B14C1" w:rsidP="007B14C1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2028C8FC" w14:textId="77777777" w:rsidR="007B14C1" w:rsidRPr="006F228D" w:rsidRDefault="007B14C1" w:rsidP="007B14C1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538EFAF7" w14:textId="6FDF7480" w:rsidR="00EB4696" w:rsidRDefault="00EB4696" w:rsidP="00EB4696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95566E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610C5C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0B1834C" w14:textId="0A6DE338" w:rsidR="006F228D" w:rsidRPr="00FE18C9" w:rsidRDefault="006F228D" w:rsidP="00FE18C9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7B14C1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7B14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7B14C1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proofErr w:type="spellStart"/>
      <w:r w:rsidR="007B14C1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="007B14C1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7B14C1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7B14C1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7B14C1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7B14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астрономии </w:t>
      </w:r>
      <w:r w:rsidR="007B14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="007B14C1"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610C5C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7B14C1"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610C5C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7B14C1"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6F228D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392D4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290B65B9" w14:textId="44C6A6E1" w:rsidR="007B14C1" w:rsidRPr="006F228D" w:rsidRDefault="007B14C1" w:rsidP="007B14C1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610C5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астрономии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>(далее – олимпиада</w:t>
      </w:r>
      <w:r w:rsidR="00AC697C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proofErr w:type="spellEnd"/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0D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школьного и муниципального этапов ВсОШ </w:t>
      </w:r>
      <w:r w:rsidR="00FD0D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610C5C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610C5C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24B63D" w14:textId="5CCFA6AC" w:rsidR="006F228D" w:rsidRDefault="006F228D" w:rsidP="00392D4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AA30F9" w:rsidRDefault="00AD2237" w:rsidP="00AA30F9">
      <w:pPr>
        <w:pStyle w:val="a6"/>
        <w:spacing w:after="0" w:line="240" w:lineRule="auto"/>
        <w:ind w:left="0" w:firstLine="709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AA30F9">
        <w:rPr>
          <w:b/>
          <w:bCs/>
          <w:szCs w:val="28"/>
        </w:rPr>
        <w:t>вычислительной техники, разрешенных к использованию</w:t>
      </w:r>
    </w:p>
    <w:p w14:paraId="6C52D0E8" w14:textId="1C2DD752" w:rsidR="00AA30F9" w:rsidRPr="008D3077" w:rsidRDefault="00610C5C" w:rsidP="00AA30F9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77">
        <w:rPr>
          <w:rFonts w:ascii="Times New Roman" w:hAnsi="Times New Roman" w:cs="Times New Roman"/>
          <w:sz w:val="28"/>
          <w:szCs w:val="28"/>
        </w:rPr>
        <w:t>Инженерный (научный) калькулятор, канцелярские принадлежности (ручка, карандаш, линейка, резинка для стирания и т.п.), справочные данные, разрешенные к использованию участниками на муниципальном этапе всероссийской олимпиады школьников по астрономии в Красноярском крае</w:t>
      </w:r>
      <w:r w:rsidR="008D3077" w:rsidRPr="008D3077">
        <w:rPr>
          <w:rFonts w:ascii="Times New Roman" w:hAnsi="Times New Roman" w:cs="Times New Roman"/>
          <w:sz w:val="28"/>
          <w:szCs w:val="28"/>
        </w:rPr>
        <w:t>.</w:t>
      </w:r>
    </w:p>
    <w:p w14:paraId="00700F66" w14:textId="77777777" w:rsidR="008D3077" w:rsidRDefault="008D3077" w:rsidP="00AA30F9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522A2" w14:textId="3B5F5D27" w:rsidR="00AD2237" w:rsidRPr="00AA30F9" w:rsidRDefault="00AD2237" w:rsidP="00AA30F9">
      <w:pPr>
        <w:pStyle w:val="a8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F22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D2237">
        <w:rPr>
          <w:rFonts w:ascii="Times New Roman" w:hAnsi="Times New Roman" w:cs="Times New Roman"/>
          <w:b/>
          <w:bCs/>
          <w:sz w:val="28"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3E02C4A" w14:textId="10623602" w:rsidR="008D3077" w:rsidRPr="008D3077" w:rsidRDefault="008D3077" w:rsidP="008D3077">
      <w:pPr>
        <w:spacing w:after="0" w:line="240" w:lineRule="auto"/>
        <w:ind w:firstLine="709"/>
        <w:rPr>
          <w:szCs w:val="28"/>
        </w:rPr>
      </w:pPr>
      <w:r w:rsidRPr="008D3077">
        <w:rPr>
          <w:szCs w:val="28"/>
        </w:rPr>
        <w:t xml:space="preserve">Муниципальный этап всероссийской олимпиады школьников </w:t>
      </w:r>
      <w:r w:rsidR="00FD0D75">
        <w:rPr>
          <w:szCs w:val="28"/>
        </w:rPr>
        <w:br/>
      </w:r>
      <w:r w:rsidRPr="008D3077">
        <w:rPr>
          <w:szCs w:val="28"/>
        </w:rPr>
        <w:t xml:space="preserve">по астрономии не предусматривает выполнение каких-либо практических </w:t>
      </w:r>
      <w:r w:rsidR="00FD0D75">
        <w:rPr>
          <w:szCs w:val="28"/>
        </w:rPr>
        <w:br/>
      </w:r>
      <w:r w:rsidRPr="008D3077">
        <w:rPr>
          <w:szCs w:val="28"/>
        </w:rPr>
        <w:t>и наблюдательных задач по астрономии, его проведение не требует специального оборудования (телескопов и других астрономических приборов), поэтому материальные требования для их проведения не выходят за рамки организации стандартного аудиторного режима.</w:t>
      </w:r>
    </w:p>
    <w:p w14:paraId="1A0FD233" w14:textId="22BEAAB8" w:rsidR="008D3077" w:rsidRPr="008D3077" w:rsidRDefault="008D3077" w:rsidP="008D3077">
      <w:pPr>
        <w:spacing w:after="0" w:line="240" w:lineRule="auto"/>
        <w:ind w:firstLine="709"/>
        <w:rPr>
          <w:szCs w:val="28"/>
        </w:rPr>
      </w:pPr>
      <w:r w:rsidRPr="008D3077">
        <w:rPr>
          <w:szCs w:val="28"/>
        </w:rPr>
        <w:t xml:space="preserve">Для проведения муниципального этапа олимпиады организационный комитет предоставляет аудитории в количестве, определяемом числом участников олимпиады. Аудитории должны соответствовать всем </w:t>
      </w:r>
      <w:r w:rsidRPr="008D3077">
        <w:rPr>
          <w:szCs w:val="28"/>
        </w:rPr>
        <w:lastRenderedPageBreak/>
        <w:t xml:space="preserve">техническим и санитарным требованиям, в них должны быть обеспечены условия для нормальной работы участников олимпиады в течение всего мероприятия. В каждой аудитории должны находиться не более 15–20 участников, каждый из которых должен сидеть за отдельной партой </w:t>
      </w:r>
      <w:r w:rsidR="00FD0D75">
        <w:rPr>
          <w:szCs w:val="28"/>
        </w:rPr>
        <w:br/>
      </w:r>
      <w:r w:rsidRPr="008D3077">
        <w:rPr>
          <w:szCs w:val="28"/>
        </w:rPr>
        <w:t>с соблюдением всех санитарно-эпидемиологических норм. Рекомендуется участников олимпиады по каждой возрастной группе размещать в разных аудиториях. В случае проведения этапа с использованием информационно-коммуникационных технологий участникам должен быть предоставлен доступ к онлайн-платформе, на которой проводится этап.</w:t>
      </w:r>
    </w:p>
    <w:p w14:paraId="6BFFB4A8" w14:textId="07A80CF8" w:rsidR="008D3077" w:rsidRPr="008D3077" w:rsidRDefault="008D3077" w:rsidP="008D3077">
      <w:pPr>
        <w:spacing w:after="0" w:line="240" w:lineRule="auto"/>
        <w:ind w:firstLine="709"/>
        <w:rPr>
          <w:szCs w:val="28"/>
        </w:rPr>
      </w:pPr>
      <w:r w:rsidRPr="008D3077">
        <w:rPr>
          <w:szCs w:val="28"/>
        </w:rPr>
        <w:t xml:space="preserve">Участники могут использовать свои письменные принадлежности (включая линейку, циркуль, транспортир и т.п.) и непрограммируемый инженерный (научный) калькулятор. В частности, калькуляторы, допустимые для использования на ЕГЭ, разрешаются для использования на любых этапах олимпиады. Рекомендуется иметь в аудитории несколько запасных ручек </w:t>
      </w:r>
      <w:r w:rsidR="00FD0D75">
        <w:rPr>
          <w:szCs w:val="28"/>
        </w:rPr>
        <w:br/>
      </w:r>
      <w:r w:rsidRPr="008D3077">
        <w:rPr>
          <w:szCs w:val="28"/>
        </w:rPr>
        <w:t>и калькулятор.</w:t>
      </w:r>
    </w:p>
    <w:p w14:paraId="4BC291D5" w14:textId="77777777" w:rsidR="008D3077" w:rsidRPr="008D3077" w:rsidRDefault="008D3077" w:rsidP="008D3077">
      <w:pPr>
        <w:spacing w:after="0" w:line="240" w:lineRule="auto"/>
        <w:ind w:firstLine="709"/>
        <w:rPr>
          <w:szCs w:val="28"/>
        </w:rPr>
      </w:pPr>
      <w:r w:rsidRPr="008D3077">
        <w:rPr>
          <w:szCs w:val="28"/>
        </w:rPr>
        <w:t>Каждому участнику олимпиады должны быть предоставлены бланки ответов для выполнения олимпиадных заданий, предварительно распечатанные оргкомитетом на листах формата А4 (6 листов, при необходимости – дополнительные бланки для решений).</w:t>
      </w:r>
    </w:p>
    <w:p w14:paraId="02617B83" w14:textId="6B23447A" w:rsidR="008D3077" w:rsidRPr="008D3077" w:rsidRDefault="008D3077" w:rsidP="008D3077">
      <w:pPr>
        <w:spacing w:after="0" w:line="240" w:lineRule="auto"/>
        <w:ind w:firstLine="709"/>
        <w:rPr>
          <w:szCs w:val="28"/>
        </w:rPr>
      </w:pPr>
      <w:r w:rsidRPr="008D3077">
        <w:rPr>
          <w:szCs w:val="28"/>
        </w:rPr>
        <w:t xml:space="preserve">Перед началом тура участникам выдаются листы с заданиями (2 листа), содержащие листы со справочной информацией, разрешенной </w:t>
      </w:r>
      <w:r w:rsidR="00FD0D75">
        <w:rPr>
          <w:szCs w:val="28"/>
        </w:rPr>
        <w:br/>
      </w:r>
      <w:r w:rsidRPr="008D3077">
        <w:rPr>
          <w:szCs w:val="28"/>
        </w:rPr>
        <w:t xml:space="preserve">к использованию на олимпиаде (1 лист в 7– 8 классах, 2 листа – 9–11 классах). Тексты заданий должны быть заранее размножены оргкомитетом так, чтобы каждый школьник имел отдельные листы с текстом заданий и справочной информацией. Допускается черно-белая печать и тиражирование листов </w:t>
      </w:r>
      <w:r w:rsidR="00FD0D75">
        <w:rPr>
          <w:szCs w:val="28"/>
        </w:rPr>
        <w:br/>
      </w:r>
      <w:r w:rsidRPr="008D3077">
        <w:rPr>
          <w:szCs w:val="28"/>
        </w:rPr>
        <w:t>с заданиями. Написание условий на доске в аудитории не допускается.</w:t>
      </w:r>
    </w:p>
    <w:p w14:paraId="70CC0FFA" w14:textId="77777777" w:rsidR="008D3077" w:rsidRPr="008D3077" w:rsidRDefault="008D3077" w:rsidP="008D3077">
      <w:pPr>
        <w:spacing w:after="0" w:line="240" w:lineRule="auto"/>
        <w:ind w:firstLine="709"/>
        <w:rPr>
          <w:szCs w:val="28"/>
        </w:rPr>
      </w:pPr>
      <w:r w:rsidRPr="008D3077">
        <w:rPr>
          <w:szCs w:val="28"/>
        </w:rPr>
        <w:t>После окончания тура и разбора задач рекомендуется раздать (разослать) участникам или их педагогам листы с решениями.</w:t>
      </w:r>
    </w:p>
    <w:p w14:paraId="5F8DDD49" w14:textId="77777777" w:rsidR="008D3077" w:rsidRPr="008D3077" w:rsidRDefault="008D3077" w:rsidP="008D3077">
      <w:pPr>
        <w:spacing w:after="0" w:line="240" w:lineRule="auto"/>
        <w:ind w:firstLine="709"/>
        <w:rPr>
          <w:szCs w:val="28"/>
        </w:rPr>
      </w:pPr>
      <w:r w:rsidRPr="008D3077">
        <w:rPr>
          <w:szCs w:val="28"/>
        </w:rPr>
        <w:t>Для жюри на весь день проведения олимпиады оргкомитетом должно быть предоставлено отдельное помещение.</w:t>
      </w:r>
    </w:p>
    <w:p w14:paraId="6FCE1F63" w14:textId="77777777" w:rsidR="00862AB7" w:rsidRDefault="00862AB7" w:rsidP="001D57E7">
      <w:pPr>
        <w:spacing w:after="0" w:line="240" w:lineRule="auto"/>
        <w:rPr>
          <w:szCs w:val="28"/>
        </w:rPr>
      </w:pPr>
    </w:p>
    <w:sectPr w:rsidR="00862AB7" w:rsidSect="00BF0319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111597"/>
      <w:docPartObj>
        <w:docPartGallery w:val="Page Numbers (Top of Page)"/>
        <w:docPartUnique/>
      </w:docPartObj>
    </w:sdtPr>
    <w:sdtContent>
      <w:p w14:paraId="157D4455" w14:textId="549CD9A8" w:rsidR="00BF0319" w:rsidRDefault="00BF031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2EECA" w14:textId="77777777" w:rsidR="00BF0319" w:rsidRDefault="00BF031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C341C"/>
    <w:rsid w:val="00110A76"/>
    <w:rsid w:val="00157562"/>
    <w:rsid w:val="001B23A9"/>
    <w:rsid w:val="001D57E7"/>
    <w:rsid w:val="002154A8"/>
    <w:rsid w:val="002303F6"/>
    <w:rsid w:val="00242559"/>
    <w:rsid w:val="00243405"/>
    <w:rsid w:val="00285770"/>
    <w:rsid w:val="002A20A6"/>
    <w:rsid w:val="002B195E"/>
    <w:rsid w:val="003011CE"/>
    <w:rsid w:val="00311CB7"/>
    <w:rsid w:val="003173F7"/>
    <w:rsid w:val="00320519"/>
    <w:rsid w:val="003207E7"/>
    <w:rsid w:val="00341EC2"/>
    <w:rsid w:val="00392D49"/>
    <w:rsid w:val="003D5E2D"/>
    <w:rsid w:val="0040459E"/>
    <w:rsid w:val="00406E6A"/>
    <w:rsid w:val="00411A1A"/>
    <w:rsid w:val="0044549E"/>
    <w:rsid w:val="00467796"/>
    <w:rsid w:val="004C67D4"/>
    <w:rsid w:val="00592EE2"/>
    <w:rsid w:val="005979FF"/>
    <w:rsid w:val="00610C5C"/>
    <w:rsid w:val="00680B7F"/>
    <w:rsid w:val="00686E89"/>
    <w:rsid w:val="006C0731"/>
    <w:rsid w:val="006F228D"/>
    <w:rsid w:val="0070149D"/>
    <w:rsid w:val="0071752C"/>
    <w:rsid w:val="00731897"/>
    <w:rsid w:val="00736503"/>
    <w:rsid w:val="00743843"/>
    <w:rsid w:val="007458FB"/>
    <w:rsid w:val="00770D2E"/>
    <w:rsid w:val="00795036"/>
    <w:rsid w:val="007A0CA5"/>
    <w:rsid w:val="007B14C1"/>
    <w:rsid w:val="007E1783"/>
    <w:rsid w:val="007E65EF"/>
    <w:rsid w:val="007F6764"/>
    <w:rsid w:val="00805DA6"/>
    <w:rsid w:val="00810788"/>
    <w:rsid w:val="00847256"/>
    <w:rsid w:val="008562F5"/>
    <w:rsid w:val="00862AB7"/>
    <w:rsid w:val="008A483B"/>
    <w:rsid w:val="008B7AB7"/>
    <w:rsid w:val="008C575C"/>
    <w:rsid w:val="008D3077"/>
    <w:rsid w:val="00931244"/>
    <w:rsid w:val="00953F89"/>
    <w:rsid w:val="0095566E"/>
    <w:rsid w:val="00981A1E"/>
    <w:rsid w:val="009A33E4"/>
    <w:rsid w:val="009A365B"/>
    <w:rsid w:val="009A679D"/>
    <w:rsid w:val="00A13C10"/>
    <w:rsid w:val="00A25EE1"/>
    <w:rsid w:val="00A404FE"/>
    <w:rsid w:val="00AA30F9"/>
    <w:rsid w:val="00AC697C"/>
    <w:rsid w:val="00AD2237"/>
    <w:rsid w:val="00AD6D8C"/>
    <w:rsid w:val="00AE6903"/>
    <w:rsid w:val="00AF1874"/>
    <w:rsid w:val="00AF2100"/>
    <w:rsid w:val="00B97731"/>
    <w:rsid w:val="00BC3A23"/>
    <w:rsid w:val="00BE55B4"/>
    <w:rsid w:val="00BE7C75"/>
    <w:rsid w:val="00BF0319"/>
    <w:rsid w:val="00BF7325"/>
    <w:rsid w:val="00C13191"/>
    <w:rsid w:val="00C2351B"/>
    <w:rsid w:val="00C92893"/>
    <w:rsid w:val="00CA6422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768E"/>
    <w:rsid w:val="00EA0C96"/>
    <w:rsid w:val="00EB4696"/>
    <w:rsid w:val="00F01F50"/>
    <w:rsid w:val="00F43A9E"/>
    <w:rsid w:val="00F661C2"/>
    <w:rsid w:val="00F92329"/>
    <w:rsid w:val="00FD0D75"/>
    <w:rsid w:val="00FE18C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13</cp:revision>
  <cp:lastPrinted>2022-11-01T10:01:00Z</cp:lastPrinted>
  <dcterms:created xsi:type="dcterms:W3CDTF">2024-10-04T04:05:00Z</dcterms:created>
  <dcterms:modified xsi:type="dcterms:W3CDTF">2025-10-10T09:16:00Z</dcterms:modified>
</cp:coreProperties>
</file>